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media/image5.png" ContentType="image/png"/>
  <Override PartName="/word/media/image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180" w:after="372"/>
        <w:ind w:hanging="0" w:left="0" w:right="0"/>
        <w:jc w:val="center"/>
        <w:rPr>
          <w:u w:val="single"/>
        </w:rPr>
      </w:pPr>
      <w:r>
        <w:rPr>
          <w:sz w:val="28"/>
          <w:szCs w:val="28"/>
          <w:u w:val="single"/>
        </w:rPr>
        <w:t>Asocjacje Z-Wave – powiązania między urządzeniami</w:t>
      </w:r>
    </w:p>
    <w:p>
      <w:pPr>
        <w:pStyle w:val="Heading4"/>
        <w:bidi w:val="0"/>
        <w:jc w:val="left"/>
        <w:rPr/>
      </w:pPr>
      <w:bookmarkStart w:id="0" w:name="bkb-h0"/>
      <w:bookmarkEnd w:id="0"/>
      <w:r>
        <w:rPr>
          <w:rStyle w:val="Strong"/>
          <w:b/>
        </w:rPr>
        <w:t>1. Czym właściwie są asocjacje ?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Asocjacje:</w:t>
      </w:r>
      <w:hyperlink r:id="rId2">
        <w:r>
          <w:rPr>
            <w:rStyle w:val="Hyperlink"/>
            <w:shd w:fill="auto" w:val="clear"/>
          </w:rPr>
          <w:t>łac.</w:t>
        </w:r>
      </w:hyperlink>
      <w:r>
        <w:rPr>
          <w:shd w:fill="auto" w:val="clear"/>
        </w:rPr>
        <w:t xml:space="preserve"> </w:t>
      </w:r>
      <w:r>
        <w:rPr>
          <w:rStyle w:val="Emphasis"/>
        </w:rPr>
        <w:t xml:space="preserve">Accociatio </w:t>
      </w:r>
      <w:r>
        <w:rPr/>
        <w:t>– połączenie, powiązanie.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Asocjacje (powiązanie urządzeń) – Możliwość nadawania komend sterujących między urządzeniami sieci </w:t>
      </w:r>
      <w:r>
        <w:rPr>
          <w:rStyle w:val="Strong"/>
        </w:rPr>
        <w:t xml:space="preserve">Z-Wave </w:t>
      </w:r>
      <w:r>
        <w:rPr/>
        <w:t>bez udziału głównego kontrolera (centralki).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Dzięki temu urządzenia mogą się komunikować i prawidłowo funkcjonować, również w przypadku wyłączenia lub uszkodzenia centralki.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Heading4"/>
        <w:bidi w:val="0"/>
        <w:spacing w:before="180" w:after="120"/>
        <w:ind w:hanging="0" w:left="240" w:right="0"/>
        <w:jc w:val="left"/>
        <w:rPr/>
      </w:pPr>
      <w:bookmarkStart w:id="1" w:name="bkb-h1"/>
      <w:bookmarkEnd w:id="1"/>
      <w:r>
        <w:rPr>
          <w:rStyle w:val="Strong"/>
          <w:b/>
        </w:rPr>
        <w:t>2. Asocjacje wielokanałowe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Wprowadzają jeszcze więcej zastosowań asocjacji w urządzeniach wielokanałowych.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Aby dowiedzieć się jakie asocjacje można zastosować w urządzeniach, wystarczy zajrzeć do instrukcji. np. </w:t>
      </w:r>
      <w:hyperlink r:id="rId3">
        <w:r>
          <w:rPr>
            <w:rStyle w:val="Hyperlink"/>
            <w:shd w:fill="auto" w:val="clear"/>
          </w:rPr>
          <w:t>https://manuals.fibaro.com/</w:t>
        </w:r>
      </w:hyperlink>
      <w:r>
        <w:rPr/>
        <w:t>.</w:t>
      </w:r>
    </w:p>
    <w:p>
      <w:pPr>
        <w:pStyle w:val="Heading4"/>
        <w:bidi w:val="0"/>
        <w:spacing w:before="180" w:after="120"/>
        <w:ind w:hanging="0" w:left="240" w:right="0"/>
        <w:jc w:val="left"/>
        <w:rPr>
          <w:rStyle w:val="Strong"/>
        </w:rPr>
      </w:pPr>
      <w:r>
        <w:rPr/>
      </w:r>
    </w:p>
    <w:p>
      <w:pPr>
        <w:pStyle w:val="Heading4"/>
        <w:bidi w:val="0"/>
        <w:spacing w:before="180" w:after="120"/>
        <w:ind w:hanging="0" w:left="240" w:right="0"/>
        <w:jc w:val="left"/>
        <w:rPr/>
      </w:pPr>
      <w:bookmarkStart w:id="2" w:name="bkb-h2"/>
      <w:bookmarkEnd w:id="2"/>
      <w:r>
        <w:rPr>
          <w:rStyle w:val="Strong"/>
          <w:b/>
        </w:rPr>
        <w:t>3. Praktyczne zastosowanie asocjacji: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Przeniesienie przycisku, np. w przypadku braku przewodów między puszkami komunikacyjnych w połączeniu schodowym. Można wykorzystać asocjacje między modułami np. </w:t>
      </w:r>
      <w:r>
        <w:rPr>
          <w:rStyle w:val="Strong"/>
        </w:rPr>
        <w:t xml:space="preserve">Single Switch </w:t>
      </w:r>
      <w:r>
        <w:rPr/>
        <w:t xml:space="preserve">a </w:t>
      </w:r>
      <w:r>
        <w:rPr>
          <w:rStyle w:val="Strong"/>
        </w:rPr>
        <w:t>Dimmer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W Single Switch do wyboru są dwa wejścia: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540" w:leader="none"/>
        </w:tabs>
        <w:bidi w:val="0"/>
        <w:ind w:hanging="0" w:left="540" w:right="0"/>
        <w:jc w:val="left"/>
        <w:rPr/>
      </w:pPr>
      <w:r>
        <w:rPr>
          <w:rStyle w:val="Strong"/>
        </w:rPr>
        <w:t xml:space="preserve">S1 </w:t>
      </w:r>
      <w:r>
        <w:rPr/>
        <w:t xml:space="preserve">przypisane do wyjścia : </w:t>
      </w:r>
      <w:r>
        <w:rPr>
          <w:rStyle w:val="Strong"/>
        </w:rPr>
        <w:t xml:space="preserve">Q </w:t>
      </w:r>
      <w:r>
        <w:rPr/>
        <w:t xml:space="preserve">oraz, </w:t>
      </w:r>
      <w:r>
        <w:rPr>
          <w:rStyle w:val="Strong"/>
        </w:rPr>
        <w:t>wolne S2</w:t>
      </w:r>
      <w:r>
        <w:rPr/>
        <w:t>, które można wykorzystać do sterowania innym modułem za pomocą asocjacji.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center"/>
        <w:rPr>
          <w:shd w:fill="auto" w:val="clear"/>
        </w:rPr>
      </w:pPr>
      <w:r>
        <w:rPr/>
        <w:drawing>
          <wp:inline distT="0" distB="0" distL="0" distR="0">
            <wp:extent cx="2423160" cy="1485900"/>
            <wp:effectExtent l="0" t="0" r="0" b="0"/>
            <wp:docPr id="1" name="Obraz1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Co należy zrobić 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540" w:leader="none"/>
        </w:tabs>
        <w:bidi w:val="0"/>
        <w:spacing w:before="0" w:after="0"/>
        <w:ind w:hanging="0" w:left="540" w:right="0"/>
        <w:jc w:val="left"/>
        <w:rPr/>
      </w:pPr>
      <w:r>
        <w:rPr/>
        <w:t xml:space="preserve"> </w:t>
      </w:r>
      <w:r>
        <w:rPr/>
        <w:t xml:space="preserve">Przejść do </w:t>
      </w:r>
      <w:r>
        <w:rPr>
          <w:rStyle w:val="Strong"/>
        </w:rPr>
        <w:t xml:space="preserve">ustawień </w:t>
      </w:r>
      <w:r>
        <w:rPr/>
        <w:t>w single switch,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540" w:leader="none"/>
        </w:tabs>
        <w:bidi w:val="0"/>
        <w:spacing w:before="0" w:after="0"/>
        <w:ind w:hanging="0" w:left="540" w:right="0"/>
        <w:jc w:val="left"/>
        <w:rPr/>
      </w:pPr>
      <w:r>
        <w:rPr/>
        <w:t xml:space="preserve"> </w:t>
      </w:r>
      <w:r>
        <w:rPr/>
        <w:t xml:space="preserve">Wybrać zakładkę </w:t>
      </w:r>
      <w:r>
        <w:rPr>
          <w:rStyle w:val="Strong"/>
        </w:rPr>
        <w:t>asocjacje</w:t>
      </w:r>
      <w:r>
        <w:rPr/>
        <w:t>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540" w:leader="none"/>
        </w:tabs>
        <w:bidi w:val="0"/>
        <w:spacing w:before="0" w:after="0"/>
        <w:ind w:hanging="0" w:left="540" w:right="0"/>
        <w:jc w:val="left"/>
        <w:rPr/>
      </w:pPr>
      <w:r>
        <w:rPr/>
        <w:t xml:space="preserve"> </w:t>
      </w:r>
      <w:r>
        <w:rPr/>
        <w:t xml:space="preserve">Wybrać </w:t>
      </w:r>
      <w:r>
        <w:rPr>
          <w:rStyle w:val="Strong"/>
        </w:rPr>
        <w:t>endpoint źródłowy 0</w:t>
      </w:r>
      <w:r>
        <w:rPr/>
        <w:t>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540" w:leader="none"/>
        </w:tabs>
        <w:bidi w:val="0"/>
        <w:ind w:hanging="0" w:left="540" w:right="0"/>
        <w:jc w:val="left"/>
        <w:rPr/>
      </w:pPr>
      <w:r>
        <w:rPr/>
        <w:t xml:space="preserve"> </w:t>
      </w:r>
      <w:r>
        <w:rPr/>
        <w:t xml:space="preserve">Wybrać odpowiednią </w:t>
      </w:r>
      <w:r>
        <w:rPr>
          <w:rStyle w:val="Strong"/>
        </w:rPr>
        <w:t>grupę asocjacyjną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</w:rPr>
        <w:t xml:space="preserve">Single switch 2 </w:t>
      </w:r>
      <w:r>
        <w:rPr/>
        <w:t>umożliwia asocjację pięciu grup: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 grupa asocjacyjna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“Lifeline” </w:t>
      </w:r>
      <w:r>
        <w:rPr/>
        <w:t>raportuje stan urządzenia i pozwala na przypisanie tylko jednego urządzenia (domyślnie kontrolera).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II grupa asocjacyjna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“On/Off (S1)” </w:t>
      </w:r>
      <w:r>
        <w:rPr/>
        <w:t xml:space="preserve">jest przypisana do klawisza </w:t>
      </w:r>
      <w:r>
        <w:rPr>
          <w:rStyle w:val="Strong"/>
        </w:rPr>
        <w:t xml:space="preserve">S1 </w:t>
      </w:r>
      <w:r>
        <w:rPr/>
        <w:t xml:space="preserve">(korzysta z klasy komend </w:t>
      </w:r>
      <w:r>
        <w:rPr>
          <w:rStyle w:val="Strong"/>
        </w:rPr>
        <w:t>Basic</w:t>
      </w:r>
      <w:r>
        <w:rPr/>
        <w:t>).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III grupa asocjacyjna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“Dimmer (S1)” </w:t>
      </w:r>
      <w:r>
        <w:rPr/>
        <w:t xml:space="preserve">jest przypisana do klawisza </w:t>
      </w:r>
      <w:r>
        <w:rPr>
          <w:rStyle w:val="Strong"/>
        </w:rPr>
        <w:t xml:space="preserve">S1 </w:t>
      </w:r>
      <w:r>
        <w:rPr/>
        <w:t xml:space="preserve">(korzysta z klasy komend </w:t>
      </w:r>
      <w:r>
        <w:rPr>
          <w:rStyle w:val="Strong"/>
        </w:rPr>
        <w:t>Switch Multilevel</w:t>
      </w:r>
      <w:r>
        <w:rPr/>
        <w:t>).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IV grupa asocjacyjna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“On/Off (S2)” </w:t>
      </w:r>
      <w:r>
        <w:rPr/>
        <w:t xml:space="preserve">jest przypisana do klawisza </w:t>
      </w:r>
      <w:r>
        <w:rPr>
          <w:rStyle w:val="Strong"/>
        </w:rPr>
        <w:t xml:space="preserve">S2 </w:t>
      </w:r>
      <w:r>
        <w:rPr/>
        <w:t xml:space="preserve">(korzysta z klasy komend </w:t>
      </w:r>
      <w:r>
        <w:rPr>
          <w:rStyle w:val="Strong"/>
        </w:rPr>
        <w:t>Basic</w:t>
      </w:r>
      <w:r>
        <w:rPr/>
        <w:t>).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V grupa asocjacyjna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“Dimmer (S2)” </w:t>
      </w:r>
      <w:r>
        <w:rPr/>
        <w:t xml:space="preserve">jest przypisana do klawisza </w:t>
      </w:r>
      <w:r>
        <w:rPr>
          <w:rStyle w:val="Strong"/>
        </w:rPr>
        <w:t xml:space="preserve">S2 </w:t>
      </w:r>
      <w:r>
        <w:rPr/>
        <w:t xml:space="preserve">(korzysta z klasy komend </w:t>
      </w:r>
      <w:r>
        <w:rPr>
          <w:rStyle w:val="Strong"/>
        </w:rPr>
        <w:t>Switch Multilevel</w:t>
      </w:r>
      <w:r>
        <w:rPr/>
        <w:t>).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AFF5"/>
        </w:rPr>
        <w:t xml:space="preserve">II </w:t>
      </w:r>
      <w:r>
        <w:rPr/>
        <w:t>i</w:t>
      </w:r>
      <w:r>
        <w:rPr>
          <w:rStyle w:val="Strong"/>
        </w:rPr>
        <w:t xml:space="preserve"> </w:t>
      </w:r>
      <w:r>
        <w:rPr>
          <w:rStyle w:val="Strong"/>
          <w:color w:val="00AFF5"/>
        </w:rPr>
        <w:t xml:space="preserve">III grupa asocjacyjna </w:t>
      </w:r>
      <w:r>
        <w:rPr/>
        <w:t xml:space="preserve">przypisana jest do wejścia </w:t>
      </w:r>
      <w:r>
        <w:rPr>
          <w:rStyle w:val="Strong"/>
        </w:rPr>
        <w:t xml:space="preserve">S1 </w:t>
      </w:r>
      <w:r>
        <w:rPr/>
        <w:t xml:space="preserve">a </w:t>
      </w:r>
      <w:r>
        <w:rPr>
          <w:rStyle w:val="Strong"/>
          <w:color w:val="00AFF5"/>
        </w:rPr>
        <w:t xml:space="preserve">grupa IV </w:t>
      </w:r>
      <w:r>
        <w:rPr/>
        <w:t xml:space="preserve">i </w:t>
      </w:r>
      <w:r>
        <w:rPr>
          <w:rStyle w:val="Strong"/>
          <w:color w:val="00AFF5"/>
        </w:rPr>
        <w:t xml:space="preserve">V </w:t>
      </w:r>
      <w:r>
        <w:rPr/>
        <w:t xml:space="preserve">do wejścia </w:t>
      </w:r>
      <w:r>
        <w:rPr>
          <w:rStyle w:val="Strong"/>
        </w:rPr>
        <w:t>S2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Każda grupa odpowiednio odpowiada akcjom </w:t>
      </w:r>
      <w:r>
        <w:rPr>
          <w:rStyle w:val="Strong"/>
          <w:color w:val="FF6600"/>
        </w:rPr>
        <w:t xml:space="preserve">ON/OFF </w:t>
      </w:r>
      <w:r>
        <w:rPr/>
        <w:t xml:space="preserve">lub </w:t>
      </w:r>
      <w:r>
        <w:rPr>
          <w:rStyle w:val="Strong"/>
          <w:color w:val="FF6600"/>
        </w:rPr>
        <w:t xml:space="preserve">Dimmer </w:t>
      </w:r>
      <w:r>
        <w:rPr>
          <w:color w:val="000000"/>
        </w:rPr>
        <w:t>(ściemnianie)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Poniżej przedstawiony został przykład gdzie występuje moduł </w:t>
      </w:r>
      <w:r>
        <w:rPr>
          <w:rStyle w:val="Strong"/>
        </w:rPr>
        <w:t xml:space="preserve">Dimmer </w:t>
      </w:r>
      <w:r>
        <w:rPr/>
        <w:t xml:space="preserve">z podłączonym przyciskiem do wejścia </w:t>
      </w:r>
      <w:r>
        <w:rPr>
          <w:rStyle w:val="Strong"/>
        </w:rPr>
        <w:t>S2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</w:rPr>
        <w:t>Co należy zrobić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540" w:leader="none"/>
        </w:tabs>
        <w:bidi w:val="0"/>
        <w:spacing w:before="0" w:after="0"/>
        <w:ind w:hanging="0" w:left="540" w:right="0"/>
        <w:jc w:val="left"/>
        <w:rPr/>
      </w:pPr>
      <w:r>
        <w:rPr/>
        <w:t xml:space="preserve">Wybrać </w:t>
      </w:r>
      <w:r>
        <w:rPr>
          <w:rStyle w:val="Strong"/>
          <w:color w:val="00B7FF"/>
        </w:rPr>
        <w:t xml:space="preserve">V grupę </w:t>
      </w:r>
      <w:r>
        <w:rPr/>
        <w:t>asocjacyjną,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540" w:leader="none"/>
        </w:tabs>
        <w:bidi w:val="0"/>
        <w:spacing w:before="0" w:after="0"/>
        <w:ind w:hanging="0" w:left="540" w:right="0"/>
        <w:jc w:val="left"/>
        <w:rPr/>
      </w:pPr>
      <w:r>
        <w:rPr/>
        <w:t>Urządzenie docelowe,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540" w:leader="none"/>
        </w:tabs>
        <w:bidi w:val="0"/>
        <w:ind w:hanging="0" w:left="540" w:right="0"/>
        <w:jc w:val="left"/>
        <w:rPr/>
      </w:pPr>
      <w:r>
        <w:rPr/>
        <w:t>Kliknąć przycisk “</w:t>
      </w:r>
      <w:r>
        <w:rPr>
          <w:rStyle w:val="Strong"/>
        </w:rPr>
        <w:t>+</w:t>
      </w:r>
      <w:r>
        <w:rPr/>
        <w:t>“.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>
          <w:shd w:fill="auto" w:val="clear"/>
        </w:rPr>
      </w:pPr>
      <w:r>
        <w:rPr/>
        <w:drawing>
          <wp:inline distT="0" distB="0" distL="0" distR="0">
            <wp:extent cx="6026150" cy="2386330"/>
            <wp:effectExtent l="0" t="0" r="0" b="0"/>
            <wp:docPr id="2" name="Obraz2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W tym momencie asocjacja zostanie zapisana w module.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Zastosowanie asocjacji w </w:t>
      </w:r>
      <w:r>
        <w:rPr>
          <w:rStyle w:val="Strong"/>
          <w:color w:val="00B7FF"/>
        </w:rPr>
        <w:t xml:space="preserve">V grupie </w:t>
      </w:r>
      <w:r>
        <w:rPr/>
        <w:t>pozwoliło przenieść pełną funkcjonalność klawisza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podłączonego do </w:t>
      </w:r>
      <w:r>
        <w:rPr>
          <w:rStyle w:val="Strong"/>
        </w:rPr>
        <w:t>Dimmera</w:t>
      </w:r>
      <w:r>
        <w:rPr/>
        <w:t xml:space="preserve">, który jest podłączony do </w:t>
      </w:r>
      <w:r>
        <w:rPr>
          <w:rStyle w:val="Strong"/>
        </w:rPr>
        <w:t xml:space="preserve">Single Switcha </w:t>
      </w:r>
      <w:r>
        <w:rPr/>
        <w:t>wraz z zachowaniem wszystkich jego funkcji.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Heading4"/>
        <w:bidi w:val="0"/>
        <w:jc w:val="left"/>
        <w:rPr/>
      </w:pPr>
      <w:bookmarkStart w:id="3" w:name="bkb-h3"/>
      <w:bookmarkEnd w:id="3"/>
      <w:r>
        <w:rPr>
          <w:rStyle w:val="Strong"/>
          <w:b/>
        </w:rPr>
        <w:t>4. Asocjacje termostatów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Sterowanie ogrzewaniem podłogowym za pomocą bateryjnego termostatu naściennego </w:t>
      </w:r>
      <w:r>
        <w:rPr>
          <w:rStyle w:val="Strong"/>
        </w:rPr>
        <w:t xml:space="preserve">MCO IR 2900 </w:t>
      </w:r>
      <w:r>
        <w:rPr/>
        <w:t xml:space="preserve">z wykorzystaniem </w:t>
      </w:r>
      <w:r>
        <w:rPr>
          <w:rStyle w:val="Strong"/>
        </w:rPr>
        <w:t>Double Switcha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Termostat </w:t>
      </w:r>
      <w:r>
        <w:rPr>
          <w:rStyle w:val="Strong"/>
        </w:rPr>
        <w:t xml:space="preserve">MCO IR 2900 </w:t>
      </w:r>
      <w:r>
        <w:rPr/>
        <w:t>pozwala zarządzać urządzeniami wykorzystując podczerwień lub sterować urządzeniami za pomocą asocjacji.</w:t>
      </w:r>
    </w:p>
    <w:p>
      <w:pPr>
        <w:pStyle w:val="BodyText"/>
        <w:bidi w:val="0"/>
        <w:spacing w:before="0" w:after="120"/>
        <w:ind w:hanging="0" w:left="0" w:right="0"/>
        <w:jc w:val="left"/>
        <w:rPr>
          <w:shd w:fill="auto" w:val="clear"/>
        </w:rPr>
      </w:pPr>
      <w:r>
        <w:rPr/>
        <w:drawing>
          <wp:inline distT="0" distB="0" distL="0" distR="0">
            <wp:extent cx="1238250" cy="1219200"/>
            <wp:effectExtent l="0" t="0" r="0" b="0"/>
            <wp:docPr id="3" name="Obraz3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drawing>
          <wp:inline distT="0" distB="0" distL="0" distR="0">
            <wp:extent cx="6127750" cy="2985135"/>
            <wp:effectExtent l="0" t="0" r="0" b="0"/>
            <wp:docPr id="4" name="Obraz4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Termostat </w:t>
      </w:r>
      <w:r>
        <w:rPr>
          <w:rStyle w:val="Strong"/>
        </w:rPr>
        <w:t xml:space="preserve">MCO IR 2900 </w:t>
      </w:r>
      <w:r>
        <w:rPr/>
        <w:t>posiada 3 grupy asocjacyjne:</w:t>
        <w:br/>
      </w:r>
      <w:r>
        <w:rPr>
          <w:rStyle w:val="Strong"/>
          <w:color w:val="00B7FF"/>
        </w:rPr>
        <w:t xml:space="preserve">I grupa asocjacyjna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“Lifeline” </w:t>
      </w:r>
      <w:r>
        <w:rPr/>
        <w:t>raportuje stan urządzenia i pozwala na przypisanie tylko jednego urządzenia (domyślnie kontrolera).</w:t>
        <w:br/>
      </w:r>
      <w:r>
        <w:rPr>
          <w:rStyle w:val="Strong"/>
          <w:color w:val="00B7FF"/>
        </w:rPr>
        <w:t xml:space="preserve">II grupa asocjacyjna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“On/Off ” </w:t>
      </w:r>
      <w:r>
        <w:rPr/>
        <w:t xml:space="preserve">(korzysta z klasy komend Basic), sterowanie urządzeniami typu switch, sterującymi </w:t>
      </w:r>
      <w:r>
        <w:rPr>
          <w:rStyle w:val="Strong"/>
        </w:rPr>
        <w:t>grzaniem</w:t>
      </w:r>
      <w:r>
        <w:rPr/>
        <w:t>.</w:t>
        <w:br/>
      </w:r>
      <w:r>
        <w:rPr>
          <w:rStyle w:val="Strong"/>
          <w:color w:val="00B7FF"/>
        </w:rPr>
        <w:t xml:space="preserve">III grupa asocjacyjna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“On/Off” </w:t>
      </w:r>
      <w:r>
        <w:rPr/>
        <w:t xml:space="preserve">(korzysta z klasy komend Basic), sterowanie urządzeniami typu switch, sterującymi </w:t>
      </w:r>
      <w:r>
        <w:rPr>
          <w:rStyle w:val="Strong"/>
        </w:rPr>
        <w:t>chłodzeniem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Można dodać do </w:t>
      </w:r>
      <w:r>
        <w:rPr>
          <w:rStyle w:val="Strong"/>
          <w:color w:val="00B7FF"/>
        </w:rPr>
        <w:t xml:space="preserve">II grupy </w:t>
      </w:r>
      <w:r>
        <w:rPr/>
        <w:t xml:space="preserve">urządzenia, które będą włączać </w:t>
      </w:r>
      <w:r>
        <w:rPr>
          <w:rStyle w:val="Strong"/>
        </w:rPr>
        <w:t>grzanie</w:t>
      </w:r>
      <w:r>
        <w:rPr/>
        <w:t>,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następnie do</w:t>
      </w:r>
      <w:r>
        <w:rPr>
          <w:rStyle w:val="Strong"/>
        </w:rPr>
        <w:t xml:space="preserve"> </w:t>
      </w:r>
      <w:r>
        <w:rPr>
          <w:rStyle w:val="Strong"/>
          <w:color w:val="00B7FF"/>
        </w:rPr>
        <w:t xml:space="preserve">grupy III </w:t>
      </w:r>
      <w:r>
        <w:rPr/>
        <w:t xml:space="preserve">dodać urządzenia, które będą sterować </w:t>
      </w:r>
      <w:r>
        <w:rPr>
          <w:rStyle w:val="Strong"/>
        </w:rPr>
        <w:t>chłodzeniem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Po zapisaniu asocjacji urządzenia te będą pracować tak, jakby były przekaźnikami wbudowanymi bezpośrednio w urządzenie </w:t>
      </w:r>
      <w:r>
        <w:rPr>
          <w:rStyle w:val="Strong"/>
        </w:rPr>
        <w:t>MCO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4"/>
        <w:bidi w:val="0"/>
        <w:jc w:val="left"/>
        <w:rPr/>
      </w:pPr>
      <w:bookmarkStart w:id="4" w:name="bkb-h4"/>
      <w:bookmarkEnd w:id="4"/>
      <w:r>
        <w:rPr>
          <w:rStyle w:val="Strong"/>
          <w:b/>
        </w:rPr>
        <w:t>5.  Bezpieczeństwo – Asocjacje czujnika dymu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W trakcie pożaru, w celu umożliwienia ewakuacji, należy otworzyć rolety. Działanie to powinno być podjęte niezależnie od tego czy działa </w:t>
      </w:r>
      <w:r>
        <w:rPr>
          <w:rStyle w:val="Strong"/>
        </w:rPr>
        <w:t>Home Center</w:t>
      </w:r>
      <w:r>
        <w:rPr/>
        <w:t>.</w:t>
        <w:br/>
        <w:t>Do wyboru są następujące grupy asocjacyjne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 grupa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Lifeline </w:t>
      </w:r>
      <w:r>
        <w:rPr/>
        <w:t xml:space="preserve">Raportuje stan urządzenia. W tej grupie można ustawić tylko 1 urządzenie, które powinno być kontrolerem sieci </w:t>
      </w:r>
      <w:r>
        <w:rPr>
          <w:rStyle w:val="Strong"/>
        </w:rPr>
        <w:t>Z-Wave</w:t>
      </w:r>
      <w:r>
        <w:rPr/>
        <w:t>. Nie zaleca się modyfikacji tej grupy asocjacyjnej.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II grupa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Smoke Alarm </w:t>
      </w:r>
      <w:r>
        <w:rPr/>
        <w:t xml:space="preserve">W przypadku wykrycia dymu wysyła komendę sterującą BASIC SET. Wartość wysyłanej ramki może być zmodyfikowana poprzez parametry zaawansowane (Patrz punkt XVI instrukcji </w:t>
      </w:r>
      <w:r>
        <w:rPr>
          <w:rStyle w:val="Strong"/>
        </w:rPr>
        <w:t>Smoke Sensor’a FGSD-002</w:t>
      </w:r>
      <w:r>
        <w:rPr/>
        <w:t>). Grupa może obsłużyć do 5 urządzeń sterowalnych typu ON/OFF.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III grupa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Tamper </w:t>
      </w:r>
      <w:r>
        <w:rPr/>
        <w:t>W przypadku wykrycia otwarcia obudowy, do urządzeń zasocjowanych, wysyłane jest powiadomienie NOTIFICATION REPORT (TYPE = BURGLAR, EVENT = PRODUCT COVERING REMOVED). Grupa może obsłużyć do 5 urządzeń, które mają zdefiniowaną obsługę ramki otwarcia obudowy (NOTIFICATION REPORT).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IV grupa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 xml:space="preserve">Smoke Alarm </w:t>
      </w:r>
      <w:r>
        <w:rPr/>
        <w:t xml:space="preserve">W przypadku wykrycia dymu, do urządzeń zasocjowanych, wysyłane jest powiadomienie SENSOR ALARM REPORT (TYPE = SMOKE ALARM). Grupa może obsłużyć do 5 urządzeń, które mają zdefiniowaną obsługę komendy SMOKE ALARM. </w:t>
      </w:r>
      <w:r>
        <w:rPr>
          <w:rStyle w:val="Strong"/>
          <w:color w:val="00B7FF"/>
        </w:rPr>
        <w:t xml:space="preserve">V grupa </w:t>
      </w:r>
      <w:r>
        <w:rPr>
          <w:rStyle w:val="Strong"/>
        </w:rPr>
        <w:t xml:space="preserve">– </w:t>
      </w:r>
      <w:r>
        <w:rPr>
          <w:rStyle w:val="Strong"/>
          <w:color w:val="FF6600"/>
        </w:rPr>
        <w:t>Tamper</w:t>
      </w:r>
      <w:r>
        <w:rPr/>
        <w:t>. W przypadku wykrycia otwarcia obudowy, do urządzeń zasocjowanych, wysyłane jest powiadomienie SENSOR ALARM REPORT (TYPE = GENERAL). Grupa może obsłużyć do 5 urządzeń, które mają zdefiniowaną obsługę komendy SENSOR ALARM REPORT.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Najlepiej wybrać </w:t>
      </w:r>
      <w:r>
        <w:rPr>
          <w:rStyle w:val="Strong"/>
          <w:color w:val="00B7FF"/>
        </w:rPr>
        <w:t xml:space="preserve">II grupę </w:t>
      </w:r>
      <w:r>
        <w:rPr/>
        <w:t>asocjacyjną Basic Set, po dodaniu rolety w tej grupie roleta się otworzy.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332355"/>
            <wp:effectExtent l="0" t="0" r="0" b="0"/>
            <wp:wrapSquare wrapText="largest"/>
            <wp:docPr id="5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4"/>
        <w:bidi w:val="0"/>
        <w:jc w:val="left"/>
        <w:rPr/>
      </w:pPr>
      <w:bookmarkStart w:id="5" w:name="bkb-h5"/>
      <w:bookmarkEnd w:id="5"/>
      <w:r>
        <w:rPr>
          <w:rStyle w:val="Strong"/>
          <w:b/>
        </w:rPr>
        <w:t>6.  Asocjacje Walli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Budowa układu </w:t>
      </w:r>
      <w:r>
        <w:rPr>
          <w:rStyle w:val="Strong"/>
        </w:rPr>
        <w:t xml:space="preserve">schodowo-krzyżowego </w:t>
      </w:r>
      <w:r>
        <w:rPr/>
        <w:t xml:space="preserve">włączników z wykorzystaniem </w:t>
      </w:r>
      <w:r>
        <w:rPr>
          <w:rStyle w:val="Strong"/>
        </w:rPr>
        <w:t>Walli Controler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W serii włączników </w:t>
      </w:r>
      <w:r>
        <w:rPr>
          <w:rStyle w:val="Strong"/>
        </w:rPr>
        <w:t xml:space="preserve">Walli </w:t>
      </w:r>
      <w:r>
        <w:rPr/>
        <w:t xml:space="preserve">nie ma typowych włączników schodowych i krzyżowych. Do budowania tego typu układów włączników należy wykorzystać włączniki </w:t>
      </w:r>
      <w:r>
        <w:rPr>
          <w:rStyle w:val="Strong"/>
        </w:rPr>
        <w:t xml:space="preserve">Walli Switch </w:t>
      </w:r>
      <w:r>
        <w:rPr/>
        <w:t xml:space="preserve">lub </w:t>
      </w:r>
      <w:r>
        <w:rPr>
          <w:rStyle w:val="Strong"/>
        </w:rPr>
        <w:t>Walli Controler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</w:rPr>
        <w:t xml:space="preserve">Walli Controller </w:t>
      </w:r>
      <w:r>
        <w:rPr/>
        <w:t>pełni wyłącznie funkcję pilota.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Urządzenie wspiera 7 grup asocjacyjnych: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 grupa </w:t>
      </w:r>
      <w:r>
        <w:rPr/>
        <w:t xml:space="preserve"> – </w:t>
      </w:r>
      <w:r>
        <w:rPr>
          <w:rStyle w:val="Strong"/>
          <w:color w:val="FF6600"/>
        </w:rPr>
        <w:t xml:space="preserve">“Lifeline” </w:t>
      </w:r>
      <w:r>
        <w:rPr/>
        <w:t>raportuje stan urządzenia i pozwala na przypisanie tylko jednego urządzenia (domyślnie kontrolera).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II grupa </w:t>
      </w:r>
      <w:r>
        <w:rPr/>
        <w:t xml:space="preserve">– </w:t>
      </w:r>
      <w:r>
        <w:rPr>
          <w:rStyle w:val="Strong"/>
          <w:color w:val="FF6600"/>
        </w:rPr>
        <w:t xml:space="preserve">“On/Off” (1) </w:t>
      </w:r>
      <w:r>
        <w:rPr/>
        <w:t>służy do włączania/wyłączania powiązanych urządzeń.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III grupa </w:t>
      </w:r>
      <w:r>
        <w:rPr/>
        <w:t xml:space="preserve">– </w:t>
      </w:r>
      <w:r>
        <w:rPr>
          <w:rStyle w:val="Strong"/>
          <w:color w:val="FF6600"/>
        </w:rPr>
        <w:t xml:space="preserve">“Dimmer” (1) </w:t>
      </w:r>
      <w:r>
        <w:rPr/>
        <w:t>służy do zmiany poziomu powiązanych urządzeń.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IV grupa </w:t>
      </w:r>
      <w:r>
        <w:rPr/>
        <w:t xml:space="preserve">– </w:t>
      </w:r>
      <w:r>
        <w:rPr>
          <w:rStyle w:val="Strong"/>
          <w:color w:val="FF6600"/>
        </w:rPr>
        <w:t xml:space="preserve">“On/Off” (2) </w:t>
      </w:r>
      <w:r>
        <w:rPr/>
        <w:t>służy do włączania/wyłączania powiązanych urządzeń.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V grupa </w:t>
      </w:r>
      <w:r>
        <w:rPr/>
        <w:t xml:space="preserve"> – </w:t>
      </w:r>
      <w:r>
        <w:rPr>
          <w:rStyle w:val="Strong"/>
          <w:color w:val="FF6600"/>
        </w:rPr>
        <w:t xml:space="preserve">“Dimmer” (2) </w:t>
      </w:r>
      <w:r>
        <w:rPr/>
        <w:t>służy do zmiany poziomu powiązanych urządzeń.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 xml:space="preserve">VI grupa </w:t>
      </w:r>
      <w:r>
        <w:rPr/>
        <w:t xml:space="preserve"> – </w:t>
      </w:r>
      <w:r>
        <w:rPr>
          <w:rStyle w:val="Strong"/>
          <w:color w:val="FF6600"/>
        </w:rPr>
        <w:t xml:space="preserve">“Multidevice” </w:t>
      </w:r>
      <w:r>
        <w:rPr/>
        <w:t>służy do sterowania różnym rodzajem urządzeń.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  <w:color w:val="00B7FF"/>
        </w:rPr>
        <w:t>VII grupa</w:t>
      </w:r>
      <w:r>
        <w:rPr/>
        <w:t xml:space="preserve"> – </w:t>
      </w:r>
      <w:r>
        <w:rPr>
          <w:rStyle w:val="Strong"/>
          <w:color w:val="FF6600"/>
        </w:rPr>
        <w:t xml:space="preserve">“Slats” </w:t>
      </w:r>
      <w:r>
        <w:rPr/>
        <w:t>służy do sterowania lamelami w żaluzjach.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Urządzenie pozwala na sterowanie 5 urządzeniami zwykłymi lub wielokanałowymi na grupę asocjacyjną, z wyjątkiem </w:t>
      </w:r>
      <w:r>
        <w:rPr>
          <w:rStyle w:val="Strong"/>
          <w:color w:val="FF6600"/>
        </w:rPr>
        <w:t>„LifeLine”</w:t>
      </w:r>
      <w:r>
        <w:rPr/>
        <w:t>, który jest zarezerwowany wyłącznie dla kontrolera i dlatego można przypisać tylko 1 węzeł.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</w:rPr>
        <w:t xml:space="preserve">The Button, </w:t>
      </w:r>
      <w:r>
        <w:rPr/>
        <w:t xml:space="preserve">dzięki </w:t>
      </w:r>
      <w:r>
        <w:rPr>
          <w:rStyle w:val="Strong"/>
          <w:color w:val="00B7FF"/>
        </w:rPr>
        <w:t xml:space="preserve">VI grupie </w:t>
      </w:r>
      <w:r>
        <w:rPr/>
        <w:t xml:space="preserve">asocjacyjnej pozwala na pełnienie funkcji </w:t>
      </w:r>
      <w:r>
        <w:rPr>
          <w:rStyle w:val="Strong"/>
        </w:rPr>
        <w:t xml:space="preserve">Walli Dimmera </w:t>
      </w:r>
      <w:r>
        <w:rPr/>
        <w:t xml:space="preserve">w </w:t>
      </w:r>
      <w:r>
        <w:rPr>
          <w:rStyle w:val="Strong"/>
        </w:rPr>
        <w:t>Walli Controler</w:t>
      </w:r>
      <w:r>
        <w:rPr/>
        <w:t xml:space="preserve">. Przykładowo: </w:t>
      </w:r>
      <w:r>
        <w:rPr>
          <w:rStyle w:val="Emphasis"/>
        </w:rPr>
        <w:t>nacisnąć przycisk do góry by włączyć urządzenie a w dół, wyłączyć</w:t>
      </w:r>
      <w:r>
        <w:rPr/>
        <w:t xml:space="preserve">. </w:t>
      </w:r>
      <w:r>
        <w:rPr>
          <w:rStyle w:val="Emphasis"/>
        </w:rPr>
        <w:t>Przytrzymanie i dwukrotne kliknięcie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>
          <w:shd w:fill="auto" w:val="clear"/>
        </w:rPr>
      </w:pPr>
      <w:r>
        <w:rPr/>
        <w:drawing>
          <wp:inline distT="0" distB="0" distL="0" distR="0">
            <wp:extent cx="5981700" cy="1750060"/>
            <wp:effectExtent l="0" t="0" r="0" b="0"/>
            <wp:docPr id="6" name="Obraz6" descr="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 descr="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bidi w:val="0"/>
        <w:spacing w:before="180" w:after="120"/>
        <w:ind w:hanging="0" w:left="240" w:right="0"/>
        <w:jc w:val="left"/>
        <w:rPr/>
      </w:pPr>
      <w:bookmarkStart w:id="6" w:name="bkb-h6"/>
      <w:bookmarkEnd w:id="6"/>
      <w:r>
        <w:rPr>
          <w:rStyle w:val="Strong"/>
          <w:b/>
          <w:color w:val="000000"/>
        </w:rPr>
        <w:t>7. Podsumowanie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Asocjacje to dobra i pewna metoda ustawiania połączeń między urządzeniami. Daje możliwość pominięcia centrali do budowania nowych funkcjonalności i ich przenoszenia z urządzenia na urządzenie. Asocjacje zapewniają udoskonalenie systemów bezpieczeństwa !W momencie, kiedy centrala w wyniku zalania lub pożaru przestanie działać a czujniki bateryjne wykryją zagrożenie mogą wysłać komendy sterujące do urządzeń połączonych z nimi.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Te które, będą podłączone metodą asocjacji, wykonają swoje zadanie prawidłowo, zupełnie tak jakby były podłączone do centralki.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54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54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54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4">
    <w:name w:val="Heading 4"/>
    <w:basedOn w:val="Nagwek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l.wikipedia.org/wiki/&#321;acina" TargetMode="External"/><Relationship Id="rId3" Type="http://schemas.openxmlformats.org/officeDocument/2006/relationships/hyperlink" Target="https://manuals.fibaro.com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manuals.fibaro.com/wp-content/uploads/2023/05/01-1.png" TargetMode="External"/><Relationship Id="rId6" Type="http://schemas.openxmlformats.org/officeDocument/2006/relationships/image" Target="media/image2.jpeg"/><Relationship Id="rId7" Type="http://schemas.openxmlformats.org/officeDocument/2006/relationships/hyperlink" Target="https://manuals.fibaro.com/wp-content/uploads/2023/05/02.jpg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manuals.fibaro.com/wp-content/uploads/2023/05/03.png" TargetMode="External"/><Relationship Id="rId10" Type="http://schemas.openxmlformats.org/officeDocument/2006/relationships/image" Target="media/image4.jpeg"/><Relationship Id="rId11" Type="http://schemas.openxmlformats.org/officeDocument/2006/relationships/hyperlink" Target="https://manuals.fibaro.com/wp-content/uploads/2023/05/04.jpg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yperlink" Target="https://manuals.fibaro.com/wp-content/uploads/2023/05/06.png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LibreOffice/7.6.0.3$Windows_X86_64 LibreOffice_project/69edd8b8ebc41d00b4de3915dc82f8f0fc3b6265</Application>
  <AppVersion>15.0000</AppVersion>
  <Pages>5</Pages>
  <Words>923</Words>
  <Characters>5950</Characters>
  <CharactersWithSpaces>6834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2025-01-04T21:19:05Z</dcterms:created>
  <dc:creator/>
  <dc:description/>
  <dc:language>pl-PL</dc:language>
  <cp:lastModifiedBy/>
  <dcterms:modified xsi:type="dcterms:W3CDTF">2025-01-04T22:16:15Z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